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69336F40" w14:textId="03D4B82B" w:rsidR="000D4077" w:rsidRPr="003C7E5A" w:rsidRDefault="006F673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12A9EA4B" wp14:editId="1B8DFA38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0DE01933" w:rsidR="003C7E5A" w:rsidRPr="003C7E5A" w:rsidRDefault="003C7E5A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C7E5A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6ECB1D7A" w:rsidR="000D4077" w:rsidRDefault="00F66940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0136CE15" w14:textId="5E68B37D" w:rsidR="00F66940" w:rsidRDefault="00F66940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565F8C9A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553DF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553DF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0C7F30D" w14:textId="77777777" w:rsidTr="006249B6">
        <w:trPr>
          <w:trHeight w:val="342"/>
        </w:trPr>
        <w:tc>
          <w:tcPr>
            <w:tcW w:w="2552" w:type="dxa"/>
          </w:tcPr>
          <w:p w14:paraId="3D763D2A" w14:textId="0E56CF0F" w:rsidR="000D4077" w:rsidRPr="00D02354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</w:tcPr>
          <w:p w14:paraId="7C153CA3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1ABBFFAF" w14:textId="661E9A15" w:rsidR="005125D5" w:rsidRDefault="005125D5" w:rsidP="007423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25D5">
        <w:rPr>
          <w:rFonts w:ascii="Arial" w:hAnsi="Arial" w:cs="Arial"/>
          <w:b/>
          <w:bCs/>
          <w:sz w:val="22"/>
          <w:szCs w:val="22"/>
        </w:rPr>
        <w:t xml:space="preserve">Οριστικά </w:t>
      </w:r>
      <w:r>
        <w:rPr>
          <w:rFonts w:ascii="Arial" w:hAnsi="Arial" w:cs="Arial"/>
          <w:b/>
          <w:bCs/>
          <w:sz w:val="22"/>
          <w:szCs w:val="22"/>
        </w:rPr>
        <w:t>μ</w:t>
      </w:r>
      <w:r w:rsidRPr="005125D5">
        <w:rPr>
          <w:rFonts w:ascii="Arial" w:hAnsi="Arial" w:cs="Arial"/>
          <w:b/>
          <w:bCs/>
          <w:sz w:val="22"/>
          <w:szCs w:val="22"/>
        </w:rPr>
        <w:t xml:space="preserve">ητρώα </w:t>
      </w:r>
      <w:r>
        <w:rPr>
          <w:rFonts w:ascii="Arial" w:hAnsi="Arial" w:cs="Arial"/>
          <w:b/>
          <w:bCs/>
          <w:sz w:val="22"/>
          <w:szCs w:val="22"/>
        </w:rPr>
        <w:t>π</w:t>
      </w:r>
      <w:r w:rsidRPr="005125D5">
        <w:rPr>
          <w:rFonts w:ascii="Arial" w:hAnsi="Arial" w:cs="Arial"/>
          <w:b/>
          <w:bCs/>
          <w:sz w:val="22"/>
          <w:szCs w:val="22"/>
        </w:rPr>
        <w:t xml:space="preserve">αρόχων για την </w:t>
      </w:r>
      <w:r>
        <w:rPr>
          <w:rFonts w:ascii="Arial" w:hAnsi="Arial" w:cs="Arial"/>
          <w:b/>
          <w:bCs/>
          <w:sz w:val="22"/>
          <w:szCs w:val="22"/>
        </w:rPr>
        <w:t>κατάρτιση</w:t>
      </w:r>
      <w:r w:rsidRPr="005125D5">
        <w:rPr>
          <w:rFonts w:ascii="Arial" w:hAnsi="Arial" w:cs="Arial"/>
          <w:b/>
          <w:bCs/>
          <w:sz w:val="22"/>
          <w:szCs w:val="22"/>
        </w:rPr>
        <w:t xml:space="preserve"> 80.000 ανέργων</w:t>
      </w:r>
    </w:p>
    <w:p w14:paraId="3F09FEBB" w14:textId="62EC6E54" w:rsidR="005125D5" w:rsidRPr="005125D5" w:rsidRDefault="007423F1" w:rsidP="005125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Ξεκινά</w:t>
      </w:r>
      <w:r w:rsidR="005125D5">
        <w:rPr>
          <w:rFonts w:ascii="Arial" w:hAnsi="Arial" w:cs="Arial"/>
          <w:b/>
          <w:bCs/>
          <w:sz w:val="22"/>
          <w:szCs w:val="22"/>
        </w:rPr>
        <w:t xml:space="preserve"> η υποβολή προγραμμάτων σε ψηφιακές και πράσινες δεξιότητες</w:t>
      </w:r>
    </w:p>
    <w:p w14:paraId="394CA2C8" w14:textId="77777777" w:rsidR="005125D5" w:rsidRPr="005125D5" w:rsidRDefault="005125D5" w:rsidP="005125D5">
      <w:pPr>
        <w:jc w:val="both"/>
        <w:rPr>
          <w:rFonts w:ascii="Arial" w:hAnsi="Arial" w:cs="Arial"/>
          <w:sz w:val="22"/>
          <w:szCs w:val="22"/>
        </w:rPr>
      </w:pPr>
    </w:p>
    <w:p w14:paraId="64BBBDC3" w14:textId="77777777" w:rsidR="007423F1" w:rsidRDefault="00864169" w:rsidP="007423F1">
      <w:pPr>
        <w:jc w:val="both"/>
        <w:rPr>
          <w:rFonts w:ascii="Arial" w:hAnsi="Arial" w:cs="Arial"/>
          <w:sz w:val="22"/>
          <w:szCs w:val="22"/>
        </w:rPr>
      </w:pPr>
      <w:r w:rsidRPr="00864169">
        <w:rPr>
          <w:rFonts w:ascii="Arial" w:hAnsi="Arial" w:cs="Arial"/>
          <w:sz w:val="22"/>
          <w:szCs w:val="22"/>
        </w:rPr>
        <w:t>Α</w:t>
      </w:r>
      <w:r w:rsidR="005125D5" w:rsidRPr="00864169">
        <w:rPr>
          <w:rFonts w:ascii="Arial" w:hAnsi="Arial" w:cs="Arial"/>
          <w:sz w:val="22"/>
          <w:szCs w:val="22"/>
        </w:rPr>
        <w:t>ναρτήθηκαν</w:t>
      </w:r>
      <w:r w:rsidRPr="00864169">
        <w:rPr>
          <w:rFonts w:ascii="Arial" w:hAnsi="Arial" w:cs="Arial"/>
          <w:sz w:val="22"/>
          <w:szCs w:val="22"/>
        </w:rPr>
        <w:t xml:space="preserve"> στον ιστότοπο της Δημόσιας Υπηρεσίας Απασχόλησης (ΔΥΠΑ)</w:t>
      </w:r>
      <w:r w:rsidR="005125D5" w:rsidRPr="00864169">
        <w:rPr>
          <w:rFonts w:ascii="Arial" w:hAnsi="Arial" w:cs="Arial"/>
          <w:sz w:val="22"/>
          <w:szCs w:val="22"/>
        </w:rPr>
        <w:t xml:space="preserve"> τα </w:t>
      </w:r>
      <w:r w:rsidRPr="00864169">
        <w:rPr>
          <w:rFonts w:ascii="Arial" w:hAnsi="Arial" w:cs="Arial"/>
          <w:sz w:val="22"/>
          <w:szCs w:val="22"/>
        </w:rPr>
        <w:t>ο</w:t>
      </w:r>
      <w:r w:rsidR="005125D5" w:rsidRPr="00864169">
        <w:rPr>
          <w:rFonts w:ascii="Arial" w:hAnsi="Arial" w:cs="Arial"/>
          <w:bCs/>
          <w:sz w:val="22"/>
          <w:szCs w:val="22"/>
        </w:rPr>
        <w:t xml:space="preserve">ριστικά </w:t>
      </w:r>
      <w:r w:rsidRPr="00864169">
        <w:rPr>
          <w:rFonts w:ascii="Arial" w:hAnsi="Arial" w:cs="Arial"/>
          <w:bCs/>
          <w:sz w:val="22"/>
          <w:szCs w:val="22"/>
        </w:rPr>
        <w:t>μ</w:t>
      </w:r>
      <w:r w:rsidR="005125D5" w:rsidRPr="00864169">
        <w:rPr>
          <w:rFonts w:ascii="Arial" w:hAnsi="Arial" w:cs="Arial"/>
          <w:bCs/>
          <w:sz w:val="22"/>
          <w:szCs w:val="22"/>
        </w:rPr>
        <w:t xml:space="preserve">ητρώα </w:t>
      </w:r>
      <w:r w:rsidRPr="00864169">
        <w:rPr>
          <w:rFonts w:ascii="Arial" w:hAnsi="Arial" w:cs="Arial"/>
          <w:bCs/>
          <w:sz w:val="22"/>
          <w:szCs w:val="22"/>
        </w:rPr>
        <w:t>π</w:t>
      </w:r>
      <w:r w:rsidR="005125D5" w:rsidRPr="00864169">
        <w:rPr>
          <w:rFonts w:ascii="Arial" w:hAnsi="Arial" w:cs="Arial"/>
          <w:bCs/>
          <w:sz w:val="22"/>
          <w:szCs w:val="22"/>
        </w:rPr>
        <w:t xml:space="preserve">αρόχων </w:t>
      </w:r>
      <w:r w:rsidRPr="00864169">
        <w:rPr>
          <w:rFonts w:ascii="Arial" w:hAnsi="Arial" w:cs="Arial"/>
          <w:bCs/>
          <w:sz w:val="22"/>
          <w:szCs w:val="22"/>
        </w:rPr>
        <w:t>κ</w:t>
      </w:r>
      <w:r w:rsidR="005125D5" w:rsidRPr="00864169">
        <w:rPr>
          <w:rFonts w:ascii="Arial" w:hAnsi="Arial" w:cs="Arial"/>
          <w:bCs/>
          <w:sz w:val="22"/>
          <w:szCs w:val="22"/>
        </w:rPr>
        <w:t xml:space="preserve">ατάρτισης </w:t>
      </w:r>
      <w:r w:rsidR="005125D5" w:rsidRPr="00864169">
        <w:rPr>
          <w:rFonts w:ascii="Arial" w:hAnsi="Arial" w:cs="Arial"/>
          <w:sz w:val="22"/>
          <w:szCs w:val="22"/>
        </w:rPr>
        <w:t xml:space="preserve">στο πλαίσιο της υλοποίησης  προγραμμάτων αναβάθμισης δεξιοτήτων </w:t>
      </w:r>
      <w:r>
        <w:rPr>
          <w:rFonts w:ascii="Arial" w:hAnsi="Arial" w:cs="Arial"/>
          <w:sz w:val="22"/>
          <w:szCs w:val="22"/>
        </w:rPr>
        <w:t>«</w:t>
      </w:r>
      <w:r w:rsidR="005125D5" w:rsidRPr="00864169">
        <w:rPr>
          <w:rFonts w:ascii="Arial" w:hAnsi="Arial" w:cs="Arial"/>
          <w:sz w:val="22"/>
          <w:szCs w:val="22"/>
        </w:rPr>
        <w:t>νέας γενιάς</w:t>
      </w:r>
      <w:r>
        <w:rPr>
          <w:rFonts w:ascii="Arial" w:hAnsi="Arial" w:cs="Arial"/>
          <w:sz w:val="22"/>
          <w:szCs w:val="22"/>
        </w:rPr>
        <w:t>»</w:t>
      </w:r>
      <w:r w:rsidR="005125D5" w:rsidRPr="00864169">
        <w:rPr>
          <w:rFonts w:ascii="Arial" w:hAnsi="Arial" w:cs="Arial"/>
          <w:sz w:val="22"/>
          <w:szCs w:val="22"/>
        </w:rPr>
        <w:t xml:space="preserve"> για 80.000 ανέργους, συνολικού προϋπολογισμού 100 εκ. ευρώ, με χρηματοδότηση από το Ταμείο Ανάκαμψης και Ανθεκτικότητας.</w:t>
      </w:r>
      <w:r w:rsidR="007423F1">
        <w:rPr>
          <w:rFonts w:ascii="Arial" w:hAnsi="Arial" w:cs="Arial"/>
          <w:sz w:val="22"/>
          <w:szCs w:val="22"/>
        </w:rPr>
        <w:t xml:space="preserve"> </w:t>
      </w:r>
    </w:p>
    <w:p w14:paraId="44C1A8BF" w14:textId="77777777" w:rsidR="005125D5" w:rsidRPr="005125D5" w:rsidRDefault="005125D5" w:rsidP="007423F1">
      <w:pPr>
        <w:jc w:val="both"/>
        <w:rPr>
          <w:rFonts w:ascii="Arial" w:hAnsi="Arial" w:cs="Arial"/>
          <w:sz w:val="22"/>
          <w:szCs w:val="22"/>
        </w:rPr>
      </w:pPr>
    </w:p>
    <w:p w14:paraId="6607BD6F" w14:textId="68D1231C" w:rsidR="007423F1" w:rsidRDefault="005125D5" w:rsidP="007423F1">
      <w:pPr>
        <w:jc w:val="both"/>
        <w:rPr>
          <w:rFonts w:ascii="Arial" w:hAnsi="Arial" w:cs="Arial"/>
          <w:sz w:val="22"/>
          <w:szCs w:val="22"/>
        </w:rPr>
      </w:pPr>
      <w:r w:rsidRPr="005125D5">
        <w:rPr>
          <w:rFonts w:ascii="Arial" w:hAnsi="Arial" w:cs="Arial"/>
          <w:sz w:val="22"/>
          <w:szCs w:val="22"/>
        </w:rPr>
        <w:t xml:space="preserve">Οι αιτήσεις συμμετοχής αξιολογήθηκαν, ώστε οι </w:t>
      </w:r>
      <w:r w:rsidR="00864169">
        <w:rPr>
          <w:rFonts w:ascii="Arial" w:hAnsi="Arial" w:cs="Arial"/>
          <w:sz w:val="22"/>
          <w:szCs w:val="22"/>
        </w:rPr>
        <w:t>π</w:t>
      </w:r>
      <w:r w:rsidRPr="005125D5">
        <w:rPr>
          <w:rFonts w:ascii="Arial" w:hAnsi="Arial" w:cs="Arial"/>
          <w:sz w:val="22"/>
          <w:szCs w:val="22"/>
        </w:rPr>
        <w:t>άροχοι να πληρούν τα κριτήρια, τους όρους και τις προϋποθέσεις που ορίζουν οι δημόσιες προσκλήσεις για τη διασφάλιση ποιότητας.</w:t>
      </w:r>
      <w:r w:rsidR="007423F1">
        <w:rPr>
          <w:rFonts w:ascii="Arial" w:hAnsi="Arial" w:cs="Arial"/>
          <w:sz w:val="22"/>
          <w:szCs w:val="22"/>
        </w:rPr>
        <w:t xml:space="preserve"> </w:t>
      </w:r>
      <w:r w:rsidRPr="005125D5">
        <w:rPr>
          <w:rFonts w:ascii="Arial" w:hAnsi="Arial" w:cs="Arial"/>
          <w:sz w:val="22"/>
          <w:szCs w:val="22"/>
        </w:rPr>
        <w:t xml:space="preserve">Τα </w:t>
      </w:r>
      <w:r w:rsidR="00864169">
        <w:rPr>
          <w:rFonts w:ascii="Arial" w:hAnsi="Arial" w:cs="Arial"/>
          <w:sz w:val="22"/>
          <w:szCs w:val="22"/>
        </w:rPr>
        <w:t>μ</w:t>
      </w:r>
      <w:r w:rsidRPr="005125D5">
        <w:rPr>
          <w:rFonts w:ascii="Arial" w:hAnsi="Arial" w:cs="Arial"/>
          <w:sz w:val="22"/>
          <w:szCs w:val="22"/>
        </w:rPr>
        <w:t xml:space="preserve">ητρώα περιλαμβάνουν 179 Κέντρα Δια Βίου Μάθησης (Κ.Δ.Β.Μ.) και 13 επιλεγμένα </w:t>
      </w:r>
      <w:r w:rsidR="00864169">
        <w:rPr>
          <w:rFonts w:ascii="Arial" w:hAnsi="Arial" w:cs="Arial"/>
          <w:sz w:val="22"/>
          <w:szCs w:val="22"/>
        </w:rPr>
        <w:t xml:space="preserve">πανεπιστημιακά </w:t>
      </w:r>
      <w:r w:rsidRPr="005125D5">
        <w:rPr>
          <w:rFonts w:ascii="Arial" w:hAnsi="Arial" w:cs="Arial"/>
          <w:sz w:val="22"/>
          <w:szCs w:val="22"/>
        </w:rPr>
        <w:t xml:space="preserve">Κέντρα Επιμόρφωσης και Δια Βίου Μάθησης (ΚΕΔΙΒΙΜ) και έχουν αναρτηθεί στις εξής ηλεκτρονικές διευθύνσεις: </w:t>
      </w:r>
    </w:p>
    <w:p w14:paraId="22C262A8" w14:textId="77777777" w:rsidR="007423F1" w:rsidRDefault="007423F1" w:rsidP="00864169">
      <w:pPr>
        <w:jc w:val="both"/>
        <w:rPr>
          <w:rFonts w:ascii="Arial" w:hAnsi="Arial" w:cs="Arial"/>
          <w:b/>
          <w:sz w:val="22"/>
          <w:szCs w:val="22"/>
        </w:rPr>
      </w:pPr>
    </w:p>
    <w:p w14:paraId="167AE040" w14:textId="24BB16A0" w:rsidR="005125D5" w:rsidRPr="007423F1" w:rsidRDefault="005125D5" w:rsidP="0086416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423F1">
        <w:rPr>
          <w:rFonts w:ascii="Arial" w:hAnsi="Arial" w:cs="Arial"/>
          <w:sz w:val="22"/>
          <w:szCs w:val="22"/>
          <w:lang w:val="en-US"/>
        </w:rPr>
        <w:t>voucher.gov.gr</w:t>
      </w:r>
      <w:r w:rsidR="007423F1" w:rsidRPr="007423F1">
        <w:rPr>
          <w:rFonts w:ascii="Arial" w:hAnsi="Arial" w:cs="Arial"/>
          <w:sz w:val="22"/>
          <w:szCs w:val="22"/>
          <w:lang w:val="en-US"/>
        </w:rPr>
        <w:t>:</w:t>
      </w:r>
      <w:r w:rsidR="007423F1" w:rsidRPr="007423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1" w:history="1">
        <w:r w:rsidR="007423F1" w:rsidRPr="007423F1">
          <w:rPr>
            <w:rStyle w:val="-"/>
            <w:rFonts w:ascii="Arial" w:hAnsi="Arial" w:cs="Arial"/>
            <w:sz w:val="22"/>
            <w:szCs w:val="22"/>
            <w:lang w:val="en-US"/>
          </w:rPr>
          <w:t>https://voucher.gov.gr/project/view-dypa</w:t>
        </w:r>
      </w:hyperlink>
      <w:r w:rsidR="007423F1" w:rsidRPr="007423F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1FD11E0" w14:textId="42BC7820" w:rsidR="005125D5" w:rsidRPr="005125D5" w:rsidRDefault="005125D5" w:rsidP="007423F1">
      <w:pPr>
        <w:tabs>
          <w:tab w:val="left" w:pos="284"/>
          <w:tab w:val="left" w:pos="341"/>
        </w:tabs>
        <w:rPr>
          <w:rFonts w:ascii="Arial" w:hAnsi="Arial" w:cs="Arial"/>
          <w:sz w:val="22"/>
          <w:szCs w:val="22"/>
        </w:rPr>
      </w:pPr>
      <w:r w:rsidRPr="007423F1">
        <w:rPr>
          <w:rFonts w:ascii="Arial" w:hAnsi="Arial" w:cs="Arial"/>
          <w:sz w:val="22"/>
          <w:szCs w:val="22"/>
        </w:rPr>
        <w:t>ΔΥΠ</w:t>
      </w:r>
      <w:r w:rsidR="007423F1" w:rsidRPr="007423F1">
        <w:rPr>
          <w:rFonts w:ascii="Arial" w:hAnsi="Arial" w:cs="Arial"/>
          <w:sz w:val="22"/>
          <w:szCs w:val="22"/>
        </w:rPr>
        <w:t>Α</w:t>
      </w:r>
      <w:r w:rsidRPr="007423F1">
        <w:rPr>
          <w:rFonts w:ascii="Arial" w:hAnsi="Arial" w:cs="Arial"/>
          <w:sz w:val="22"/>
          <w:szCs w:val="22"/>
        </w:rPr>
        <w:t>:</w:t>
      </w:r>
      <w:r w:rsidRPr="005125D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7423F1" w:rsidRPr="009667C3">
          <w:rPr>
            <w:rStyle w:val="-"/>
            <w:rFonts w:ascii="Arial" w:hAnsi="Arial" w:cs="Arial"/>
            <w:sz w:val="22"/>
            <w:szCs w:val="22"/>
          </w:rPr>
          <w:t>https://oaed.gr/proghrammata-katartisis-ghia-to-tamio-anakampsis</w:t>
        </w:r>
      </w:hyperlink>
    </w:p>
    <w:p w14:paraId="57A50C0C" w14:textId="77777777" w:rsidR="005125D5" w:rsidRPr="005125D5" w:rsidRDefault="005125D5" w:rsidP="005125D5">
      <w:pPr>
        <w:jc w:val="both"/>
        <w:rPr>
          <w:rFonts w:ascii="Arial" w:hAnsi="Arial" w:cs="Arial"/>
          <w:sz w:val="22"/>
          <w:szCs w:val="22"/>
        </w:rPr>
      </w:pPr>
    </w:p>
    <w:p w14:paraId="71CC057E" w14:textId="1C66607F" w:rsidR="005125D5" w:rsidRDefault="007423F1" w:rsidP="005125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Επίσης, τη Δευτέρα 20 Ιουνίου, ξεκινά </w:t>
      </w:r>
      <w:r w:rsidR="00553DFF">
        <w:rPr>
          <w:rFonts w:ascii="Arial" w:hAnsi="Arial" w:cs="Arial"/>
          <w:sz w:val="22"/>
          <w:szCs w:val="22"/>
        </w:rPr>
        <w:t xml:space="preserve">στον ιστότοπο </w:t>
      </w:r>
      <w:r w:rsidR="00553DFF" w:rsidRPr="007423F1">
        <w:rPr>
          <w:rFonts w:ascii="Arial" w:hAnsi="Arial" w:cs="Arial"/>
          <w:sz w:val="22"/>
          <w:szCs w:val="22"/>
          <w:lang w:val="en-US"/>
        </w:rPr>
        <w:t>voucher</w:t>
      </w:r>
      <w:r w:rsidR="00553DFF" w:rsidRPr="00553DFF">
        <w:rPr>
          <w:rFonts w:ascii="Arial" w:hAnsi="Arial" w:cs="Arial"/>
          <w:sz w:val="22"/>
          <w:szCs w:val="22"/>
        </w:rPr>
        <w:t>.</w:t>
      </w:r>
      <w:r w:rsidR="00553DFF" w:rsidRPr="007423F1">
        <w:rPr>
          <w:rFonts w:ascii="Arial" w:hAnsi="Arial" w:cs="Arial"/>
          <w:sz w:val="22"/>
          <w:szCs w:val="22"/>
          <w:lang w:val="en-US"/>
        </w:rPr>
        <w:t>gov</w:t>
      </w:r>
      <w:r w:rsidR="00553DFF" w:rsidRPr="00553DFF">
        <w:rPr>
          <w:rFonts w:ascii="Arial" w:hAnsi="Arial" w:cs="Arial"/>
          <w:sz w:val="22"/>
          <w:szCs w:val="22"/>
        </w:rPr>
        <w:t>.</w:t>
      </w:r>
      <w:r w:rsidR="00553DFF" w:rsidRPr="007423F1">
        <w:rPr>
          <w:rFonts w:ascii="Arial" w:hAnsi="Arial" w:cs="Arial"/>
          <w:sz w:val="22"/>
          <w:szCs w:val="22"/>
          <w:lang w:val="en-US"/>
        </w:rPr>
        <w:t>gr</w:t>
      </w:r>
      <w:r w:rsidR="00553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η ηλεκτρονική υποβολή </w:t>
      </w:r>
      <w:r w:rsidR="005125D5" w:rsidRPr="005125D5">
        <w:rPr>
          <w:rFonts w:ascii="Arial" w:hAnsi="Arial" w:cs="Arial"/>
          <w:sz w:val="22"/>
          <w:szCs w:val="22"/>
        </w:rPr>
        <w:t>προτεινόμεν</w:t>
      </w:r>
      <w:r>
        <w:rPr>
          <w:rFonts w:ascii="Arial" w:hAnsi="Arial" w:cs="Arial"/>
          <w:sz w:val="22"/>
          <w:szCs w:val="22"/>
        </w:rPr>
        <w:t>ων</w:t>
      </w:r>
      <w:r w:rsidR="005125D5" w:rsidRPr="005125D5">
        <w:rPr>
          <w:rFonts w:ascii="Arial" w:hAnsi="Arial" w:cs="Arial"/>
          <w:sz w:val="22"/>
          <w:szCs w:val="22"/>
        </w:rPr>
        <w:t xml:space="preserve"> </w:t>
      </w:r>
      <w:r w:rsidRPr="005125D5">
        <w:rPr>
          <w:rFonts w:ascii="Arial" w:hAnsi="Arial" w:cs="Arial"/>
          <w:sz w:val="22"/>
          <w:szCs w:val="22"/>
        </w:rPr>
        <w:t>προγραμμάτ</w:t>
      </w:r>
      <w:r>
        <w:rPr>
          <w:rFonts w:ascii="Arial" w:hAnsi="Arial" w:cs="Arial"/>
          <w:sz w:val="22"/>
          <w:szCs w:val="22"/>
        </w:rPr>
        <w:t>ων</w:t>
      </w:r>
      <w:r w:rsidR="005125D5" w:rsidRPr="005125D5">
        <w:rPr>
          <w:rFonts w:ascii="Arial" w:hAnsi="Arial" w:cs="Arial"/>
          <w:sz w:val="22"/>
          <w:szCs w:val="22"/>
        </w:rPr>
        <w:t xml:space="preserve"> επαγγελματικής κατάρτισης</w:t>
      </w:r>
      <w:r>
        <w:rPr>
          <w:rFonts w:ascii="Arial" w:hAnsi="Arial" w:cs="Arial"/>
          <w:sz w:val="22"/>
          <w:szCs w:val="22"/>
        </w:rPr>
        <w:t xml:space="preserve"> από τους</w:t>
      </w:r>
      <w:r w:rsidRPr="005125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εγκεκριμένους </w:t>
      </w:r>
      <w:r w:rsidRPr="005125D5">
        <w:rPr>
          <w:rFonts w:ascii="Arial" w:hAnsi="Arial" w:cs="Arial"/>
          <w:sz w:val="22"/>
          <w:szCs w:val="22"/>
        </w:rPr>
        <w:t xml:space="preserve">παρόχους κατάρτισης </w:t>
      </w:r>
      <w:r>
        <w:rPr>
          <w:rFonts w:ascii="Arial" w:hAnsi="Arial" w:cs="Arial"/>
          <w:sz w:val="22"/>
          <w:szCs w:val="22"/>
        </w:rPr>
        <w:t>προς αξιολόγηση.</w:t>
      </w:r>
    </w:p>
    <w:p w14:paraId="7626A275" w14:textId="140798D5" w:rsidR="007423F1" w:rsidRDefault="007423F1" w:rsidP="005125D5">
      <w:pPr>
        <w:jc w:val="both"/>
        <w:rPr>
          <w:rFonts w:ascii="Arial" w:hAnsi="Arial" w:cs="Arial"/>
          <w:sz w:val="22"/>
          <w:szCs w:val="22"/>
        </w:rPr>
      </w:pPr>
    </w:p>
    <w:p w14:paraId="16187801" w14:textId="0C14B988" w:rsidR="007423F1" w:rsidRPr="005125D5" w:rsidRDefault="007423F1" w:rsidP="00553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Επιπλέον, </w:t>
      </w:r>
      <w:r w:rsidRPr="005125D5">
        <w:rPr>
          <w:rFonts w:ascii="Arial" w:hAnsi="Arial" w:cs="Arial"/>
          <w:sz w:val="22"/>
          <w:szCs w:val="22"/>
        </w:rPr>
        <w:t xml:space="preserve">παρατείνεται μέχρι τη Τρίτη 21 Ιουνίου 2022 και ώρα 23:59, η προθεσμία για την ηλεκτρονική υποβολή αιτήσεων παρόχων πιστοποίησης προσώπων για την ένταξή τους στο </w:t>
      </w:r>
      <w:r w:rsidR="00553DFF">
        <w:rPr>
          <w:rFonts w:ascii="Arial" w:hAnsi="Arial" w:cs="Arial"/>
          <w:sz w:val="22"/>
          <w:szCs w:val="22"/>
        </w:rPr>
        <w:t xml:space="preserve">αντίστοιχο μητρώο της ΔΥΠΑ. </w:t>
      </w:r>
    </w:p>
    <w:p w14:paraId="43C082FF" w14:textId="77777777" w:rsidR="007423F1" w:rsidRPr="005125D5" w:rsidRDefault="007423F1" w:rsidP="007423F1">
      <w:pPr>
        <w:jc w:val="both"/>
        <w:rPr>
          <w:rFonts w:ascii="Arial" w:hAnsi="Arial" w:cs="Arial"/>
          <w:sz w:val="22"/>
          <w:szCs w:val="22"/>
        </w:rPr>
      </w:pPr>
    </w:p>
    <w:p w14:paraId="3AFBAA82" w14:textId="425B22BA" w:rsidR="005125D5" w:rsidRPr="005125D5" w:rsidRDefault="005125D5" w:rsidP="005125D5">
      <w:pPr>
        <w:jc w:val="both"/>
        <w:rPr>
          <w:rFonts w:ascii="Arial" w:hAnsi="Arial" w:cs="Arial"/>
          <w:sz w:val="22"/>
          <w:szCs w:val="22"/>
        </w:rPr>
      </w:pPr>
      <w:r w:rsidRPr="005125D5">
        <w:rPr>
          <w:rFonts w:ascii="Arial" w:hAnsi="Arial" w:cs="Arial"/>
          <w:sz w:val="22"/>
          <w:szCs w:val="22"/>
        </w:rPr>
        <w:t xml:space="preserve">Στο αμέσως επόμενο χρονικό διάστημα, η </w:t>
      </w:r>
      <w:r w:rsidR="007423F1">
        <w:rPr>
          <w:rFonts w:ascii="Arial" w:hAnsi="Arial" w:cs="Arial"/>
          <w:sz w:val="22"/>
          <w:szCs w:val="22"/>
        </w:rPr>
        <w:t xml:space="preserve">ΔΥΠΑ </w:t>
      </w:r>
      <w:r w:rsidRPr="005125D5">
        <w:rPr>
          <w:rFonts w:ascii="Arial" w:hAnsi="Arial" w:cs="Arial"/>
          <w:sz w:val="22"/>
          <w:szCs w:val="22"/>
        </w:rPr>
        <w:t xml:space="preserve">θα εκδώσει σχετική πρόσκληση προς τους ωφελούμενους ώστε να υποβάλλουν αίτηση για να παρακολουθήσουν </w:t>
      </w:r>
      <w:r w:rsidR="00553DFF">
        <w:rPr>
          <w:rFonts w:ascii="Arial" w:hAnsi="Arial" w:cs="Arial"/>
          <w:sz w:val="22"/>
          <w:szCs w:val="22"/>
        </w:rPr>
        <w:t xml:space="preserve">τα εγκεκριμένα </w:t>
      </w:r>
      <w:r w:rsidRPr="005125D5">
        <w:rPr>
          <w:rFonts w:ascii="Arial" w:hAnsi="Arial" w:cs="Arial"/>
          <w:sz w:val="22"/>
          <w:szCs w:val="22"/>
        </w:rPr>
        <w:t>προγράμματα επαγγελματικής κατάρτισης για την απόκτηση ψηφιακών και πράσινων γνώσεων και δεξιοτήτων.</w:t>
      </w:r>
      <w:bookmarkStart w:id="1" w:name="_GoBack1"/>
      <w:bookmarkEnd w:id="1"/>
      <w:r w:rsidRPr="005125D5">
        <w:rPr>
          <w:rFonts w:ascii="Arial" w:hAnsi="Arial" w:cs="Arial"/>
          <w:sz w:val="22"/>
          <w:szCs w:val="22"/>
        </w:rPr>
        <w:t xml:space="preserve"> </w:t>
      </w:r>
    </w:p>
    <w:p w14:paraId="15708CA3" w14:textId="252FC1A7" w:rsidR="00AA4F79" w:rsidRDefault="00AA4F79" w:rsidP="00AA4F79">
      <w:pPr>
        <w:rPr>
          <w:rFonts w:ascii="Arial" w:hAnsi="Arial" w:cs="Arial"/>
          <w:sz w:val="22"/>
          <w:szCs w:val="22"/>
        </w:rPr>
      </w:pPr>
    </w:p>
    <w:p w14:paraId="3424F8B6" w14:textId="4C333616" w:rsidR="007423F1" w:rsidRPr="005125D5" w:rsidRDefault="00553DFF" w:rsidP="00553DFF">
      <w:pPr>
        <w:jc w:val="both"/>
        <w:rPr>
          <w:rFonts w:ascii="Arial" w:hAnsi="Arial" w:cs="Arial"/>
          <w:sz w:val="22"/>
          <w:szCs w:val="22"/>
        </w:rPr>
      </w:pPr>
      <w:r w:rsidRPr="00553DFF">
        <w:rPr>
          <w:rFonts w:ascii="Arial" w:hAnsi="Arial" w:cs="Arial"/>
          <w:sz w:val="22"/>
          <w:szCs w:val="22"/>
        </w:rPr>
        <w:t xml:space="preserve">Υπενθυμίζεται ότι, η δράση αφορά στην παροχή θεωρητικής κατάρτισης διάρκειας 50-200 ωρών σε 80.000 ανέργους ηλικίας άνω των 18 ετών, που θα οδηγεί σε απόκτηση ψηφιακών και πράσινων γνώσεων και δεξιοτήτων και σε αντίστοιχη πιστοποίηση μέσω ανεξάρτητων φορέων πιστοποίησης. </w:t>
      </w:r>
      <w:r w:rsidR="007423F1" w:rsidRPr="007423F1">
        <w:rPr>
          <w:rFonts w:ascii="Arial" w:hAnsi="Arial" w:cs="Arial"/>
          <w:sz w:val="22"/>
          <w:szCs w:val="22"/>
        </w:rPr>
        <w:t xml:space="preserve">Στόχος της δράσης είναι η αποτελεσματική διασύνδεση της επαγγελματικής κατάρτισης με τις </w:t>
      </w:r>
      <w:r w:rsidR="007423F1" w:rsidRPr="007423F1">
        <w:rPr>
          <w:rFonts w:ascii="Arial" w:hAnsi="Arial" w:cs="Arial"/>
          <w:sz w:val="22"/>
          <w:szCs w:val="22"/>
        </w:rPr>
        <w:lastRenderedPageBreak/>
        <w:t>ανάγκες της αγοράς εργασίας και η ενίσχυση της απασχολησιμότητα</w:t>
      </w:r>
      <w:r>
        <w:rPr>
          <w:rFonts w:ascii="Arial" w:hAnsi="Arial" w:cs="Arial"/>
          <w:sz w:val="22"/>
          <w:szCs w:val="22"/>
        </w:rPr>
        <w:t xml:space="preserve">ς των </w:t>
      </w:r>
      <w:r w:rsidR="007423F1" w:rsidRPr="007423F1">
        <w:rPr>
          <w:rFonts w:ascii="Arial" w:hAnsi="Arial" w:cs="Arial"/>
          <w:sz w:val="22"/>
          <w:szCs w:val="22"/>
        </w:rPr>
        <w:t>ανέργων για την ταχύτερη εργασιακή επανένταξή τους.</w:t>
      </w:r>
      <w:r w:rsidRPr="005125D5">
        <w:rPr>
          <w:rFonts w:ascii="Arial" w:hAnsi="Arial" w:cs="Arial"/>
          <w:sz w:val="22"/>
          <w:szCs w:val="22"/>
        </w:rPr>
        <w:t xml:space="preserve"> </w:t>
      </w:r>
    </w:p>
    <w:sectPr w:rsidR="007423F1" w:rsidRPr="005125D5" w:rsidSect="00AA4F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B32A" w14:textId="77777777" w:rsidR="00170AD2" w:rsidRDefault="00170AD2">
      <w:r>
        <w:separator/>
      </w:r>
    </w:p>
  </w:endnote>
  <w:endnote w:type="continuationSeparator" w:id="0">
    <w:p w14:paraId="2D1977F3" w14:textId="77777777" w:rsidR="00170AD2" w:rsidRDefault="001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0ED6" w14:textId="1D8E72D3" w:rsidR="00344BDB" w:rsidRPr="00417B17" w:rsidRDefault="00384B22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0" locked="0" layoutInCell="1" allowOverlap="1" wp14:anchorId="2F19B18C" wp14:editId="06F618A5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80000" cy="463514"/>
          <wp:effectExtent l="0" t="0" r="0" b="0"/>
          <wp:wrapThrough wrapText="bothSides">
            <wp:wrapPolygon edited="0">
              <wp:start x="0" y="0"/>
              <wp:lineTo x="0" y="20444"/>
              <wp:lineTo x="21433" y="20444"/>
              <wp:lineTo x="21433" y="0"/>
              <wp:lineTo x="0" y="0"/>
            </wp:wrapPolygon>
          </wp:wrapThrough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3160A" w14:textId="54BE2496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FC32" w14:textId="77777777" w:rsidR="00382858" w:rsidRDefault="00382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6AA6" w14:textId="77777777" w:rsidR="00170AD2" w:rsidRDefault="00170AD2">
      <w:r>
        <w:separator/>
      </w:r>
    </w:p>
  </w:footnote>
  <w:footnote w:type="continuationSeparator" w:id="0">
    <w:p w14:paraId="2645674E" w14:textId="77777777" w:rsidR="00170AD2" w:rsidRDefault="0017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3FF6" w14:textId="69B7AF60" w:rsidR="007E63E8" w:rsidRDefault="00170AD2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305DA" w14:textId="4FF163EA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7A92D914" wp14:editId="72078C96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DB803" w14:textId="29A8283E" w:rsidR="007E63E8" w:rsidRDefault="00170AD2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75C4"/>
    <w:multiLevelType w:val="multilevel"/>
    <w:tmpl w:val="58DAFA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695753F"/>
    <w:multiLevelType w:val="multilevel"/>
    <w:tmpl w:val="801C4A6A"/>
    <w:lvl w:ilvl="0">
      <w:start w:val="1"/>
      <w:numFmt w:val="bullet"/>
      <w:lvlText w:val=""/>
      <w:lvlJc w:val="left"/>
      <w:pPr>
        <w:tabs>
          <w:tab w:val="num" w:pos="775"/>
        </w:tabs>
        <w:ind w:left="775" w:hanging="360"/>
      </w:pPr>
      <w:rPr>
        <w:rFonts w:ascii="Wingdings" w:hAnsi="Wingdings" w:cs="Wingdings" w:hint="default"/>
        <w:b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135"/>
        </w:tabs>
        <w:ind w:left="1135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55"/>
        </w:tabs>
        <w:ind w:left="1855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215"/>
        </w:tabs>
        <w:ind w:left="2215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75"/>
        </w:tabs>
        <w:ind w:left="257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95"/>
        </w:tabs>
        <w:ind w:left="3295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25055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65A5"/>
    <w:rsid w:val="000D4077"/>
    <w:rsid w:val="000E1D39"/>
    <w:rsid w:val="001271C9"/>
    <w:rsid w:val="0013425F"/>
    <w:rsid w:val="0015424E"/>
    <w:rsid w:val="00161E7D"/>
    <w:rsid w:val="001653E2"/>
    <w:rsid w:val="0016571E"/>
    <w:rsid w:val="00170AD2"/>
    <w:rsid w:val="00174329"/>
    <w:rsid w:val="00177088"/>
    <w:rsid w:val="001863DB"/>
    <w:rsid w:val="001864AF"/>
    <w:rsid w:val="00197DCA"/>
    <w:rsid w:val="001B1E0C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A760E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41A16"/>
    <w:rsid w:val="00343828"/>
    <w:rsid w:val="00344BDB"/>
    <w:rsid w:val="003505CB"/>
    <w:rsid w:val="003532F7"/>
    <w:rsid w:val="00361DCA"/>
    <w:rsid w:val="00375DE8"/>
    <w:rsid w:val="00382858"/>
    <w:rsid w:val="00384B22"/>
    <w:rsid w:val="00386E1C"/>
    <w:rsid w:val="003910FF"/>
    <w:rsid w:val="00391BDD"/>
    <w:rsid w:val="00394501"/>
    <w:rsid w:val="003A4603"/>
    <w:rsid w:val="003B0A0F"/>
    <w:rsid w:val="003B12C0"/>
    <w:rsid w:val="003B42D6"/>
    <w:rsid w:val="003C2CD7"/>
    <w:rsid w:val="003C422D"/>
    <w:rsid w:val="003C7E5A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125D5"/>
    <w:rsid w:val="005371FC"/>
    <w:rsid w:val="005444E0"/>
    <w:rsid w:val="00550BE7"/>
    <w:rsid w:val="00553DFF"/>
    <w:rsid w:val="005662AA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49B6"/>
    <w:rsid w:val="00625D1F"/>
    <w:rsid w:val="006272F9"/>
    <w:rsid w:val="00635AFF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6735"/>
    <w:rsid w:val="006F7034"/>
    <w:rsid w:val="00703991"/>
    <w:rsid w:val="00734EE9"/>
    <w:rsid w:val="007423F1"/>
    <w:rsid w:val="0075510C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60DF7"/>
    <w:rsid w:val="00861452"/>
    <w:rsid w:val="00864169"/>
    <w:rsid w:val="00864C4A"/>
    <w:rsid w:val="00865D4F"/>
    <w:rsid w:val="00871B0B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3CC9"/>
    <w:rsid w:val="00AB7464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86602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A5E8B"/>
    <w:rsid w:val="00DB02F4"/>
    <w:rsid w:val="00DD36A9"/>
    <w:rsid w:val="00E00D42"/>
    <w:rsid w:val="00E06A81"/>
    <w:rsid w:val="00E07178"/>
    <w:rsid w:val="00E240F5"/>
    <w:rsid w:val="00E27FDE"/>
    <w:rsid w:val="00E35485"/>
    <w:rsid w:val="00E3636B"/>
    <w:rsid w:val="00E50FAB"/>
    <w:rsid w:val="00E54C09"/>
    <w:rsid w:val="00E658A8"/>
    <w:rsid w:val="00E71154"/>
    <w:rsid w:val="00E83C8B"/>
    <w:rsid w:val="00E85149"/>
    <w:rsid w:val="00E85D04"/>
    <w:rsid w:val="00E8686F"/>
    <w:rsid w:val="00E86B25"/>
    <w:rsid w:val="00E963A7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465C2"/>
    <w:rsid w:val="00F56368"/>
    <w:rsid w:val="00F57538"/>
    <w:rsid w:val="00F66940"/>
    <w:rsid w:val="00F6704D"/>
    <w:rsid w:val="00F67454"/>
    <w:rsid w:val="00F73743"/>
    <w:rsid w:val="00F75C42"/>
    <w:rsid w:val="00F76E6F"/>
    <w:rsid w:val="00F87FAE"/>
    <w:rsid w:val="00F90D4C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Σύνδεσμος διαδικτύου"/>
    <w:basedOn w:val="a0"/>
    <w:rsid w:val="00512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Σύνδεσμος διαδικτύου"/>
    <w:basedOn w:val="a0"/>
    <w:rsid w:val="0051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aed.gr/proghrammata-katartisis-ghia-to-tamio-anakampsi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ucher.gov.gr/project/view-dyp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902E-3B4A-40C8-AB50-9A562CB1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admin</cp:lastModifiedBy>
  <cp:revision>2</cp:revision>
  <cp:lastPrinted>2021-09-20T12:20:00Z</cp:lastPrinted>
  <dcterms:created xsi:type="dcterms:W3CDTF">2022-06-16T13:18:00Z</dcterms:created>
  <dcterms:modified xsi:type="dcterms:W3CDTF">2022-06-16T13:18:00Z</dcterms:modified>
</cp:coreProperties>
</file>